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黑体" w:hAnsi="方正小标宋简体" w:eastAsia="黑体" w:cs="方正小标宋简体"/>
          <w:color w:val="FF0000"/>
          <w:sz w:val="96"/>
          <w:szCs w:val="96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tbl>
      <w:tblPr>
        <w:tblStyle w:val="6"/>
        <w:tblpPr w:leftFromText="180" w:rightFromText="180" w:vertAnchor="page" w:horzAnchor="page" w:tblpX="1810" w:tblpY="3978"/>
        <w:tblW w:w="0" w:type="auto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6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66" w:type="dxa"/>
            <w:tcBorders>
              <w:top w:val="nil"/>
              <w:bottom w:val="single" w:color="FF0000" w:sz="12" w:space="0"/>
              <w:right w:val="nil"/>
            </w:tcBorders>
            <w:noWrap w:val="0"/>
            <w:vAlign w:val="top"/>
          </w:tcPr>
          <w:p>
            <w:pPr>
              <w:ind w:firstLine="64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hint="default" w:ascii="Times New Roman" w:hAnsi="Times New Roman" w:eastAsia="宋体" w:cs="Times New Roman"/>
                <w:sz w:val="32"/>
              </w:rPr>
              <w:t>〔20</w:t>
            </w:r>
            <w:r>
              <w:rPr>
                <w:rFonts w:hint="default" w:ascii="Times New Roman" w:hAnsi="Times New Roman" w:eastAsia="宋体" w:cs="Times New Roman"/>
                <w:sz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32"/>
              </w:rPr>
              <w:t>〕</w:t>
            </w:r>
            <w:r>
              <w:rPr>
                <w:rFonts w:hint="default" w:ascii="Times New Roman" w:hAnsi="Times New Roman" w:eastAsia="宋体" w:cs="Times New Roman"/>
                <w:sz w:val="32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3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河南省电化教育馆</w:t>
      </w:r>
    </w:p>
    <w:p>
      <w:pPr>
        <w:spacing w:line="700" w:lineRule="exact"/>
        <w:jc w:val="center"/>
        <w:rPr>
          <w:rFonts w:hint="eastAsia" w:ascii="方正小标宋简体" w:hAnsi="方正大标宋简体" w:eastAsia="方正小标宋简体"/>
          <w:sz w:val="44"/>
          <w:szCs w:val="44"/>
        </w:rPr>
      </w:pPr>
      <w:r>
        <w:rPr>
          <w:rFonts w:hint="eastAsia" w:ascii="方正小标宋简体" w:hAnsi="方正大标宋简体" w:eastAsia="方正小标宋简体"/>
          <w:sz w:val="44"/>
          <w:szCs w:val="44"/>
        </w:rPr>
        <w:t>关于举办河南省基础教育</w:t>
      </w:r>
      <w:r>
        <w:rPr>
          <w:rFonts w:ascii="方正小标宋简体" w:hAnsi="方正大标宋简体" w:eastAsia="方正小标宋简体"/>
          <w:sz w:val="44"/>
          <w:szCs w:val="44"/>
        </w:rPr>
        <w:t>网络学习</w:t>
      </w:r>
      <w:r>
        <w:rPr>
          <w:rFonts w:hint="eastAsia" w:ascii="方正小标宋简体" w:hAnsi="方正大标宋简体" w:eastAsia="方正小标宋简体"/>
          <w:sz w:val="44"/>
          <w:szCs w:val="44"/>
        </w:rPr>
        <w:t>空间</w:t>
      </w:r>
    </w:p>
    <w:p>
      <w:pPr>
        <w:spacing w:line="70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方正小标宋简体" w:hAnsi="方正大标宋简体" w:eastAsia="方正小标宋简体"/>
          <w:sz w:val="44"/>
          <w:szCs w:val="44"/>
        </w:rPr>
        <w:t>应用</w:t>
      </w:r>
      <w:r>
        <w:rPr>
          <w:rFonts w:ascii="方正小标宋简体" w:hAnsi="方正大标宋简体" w:eastAsia="方正小标宋简体"/>
          <w:sz w:val="44"/>
          <w:szCs w:val="44"/>
        </w:rPr>
        <w:t>培训</w:t>
      </w:r>
      <w:r>
        <w:rPr>
          <w:rFonts w:hint="eastAsia" w:ascii="方正小标宋简体" w:hAnsi="方正大标宋简体" w:eastAsia="方正小标宋简体"/>
          <w:sz w:val="44"/>
          <w:szCs w:val="44"/>
        </w:rPr>
        <w:t>班</w:t>
      </w:r>
      <w:r>
        <w:rPr>
          <w:rFonts w:ascii="方正小标宋简体" w:hAnsi="方正大标宋简体" w:eastAsia="方正小标宋简体"/>
          <w:sz w:val="44"/>
          <w:szCs w:val="44"/>
        </w:rPr>
        <w:t>的</w:t>
      </w:r>
      <w:r>
        <w:rPr>
          <w:rFonts w:hint="eastAsia" w:ascii="方正小标宋简体" w:hAnsi="方正大标宋简体" w:eastAsia="方正小标宋简体"/>
          <w:sz w:val="44"/>
          <w:szCs w:val="44"/>
        </w:rPr>
        <w:t>通知</w:t>
      </w:r>
    </w:p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outlineLvl w:val="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各省辖市、直管县（市）电教馆（中心）：</w:t>
      </w:r>
    </w:p>
    <w:p>
      <w:pPr>
        <w:ind w:firstLine="645"/>
        <w:outlineLvl w:val="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为加快推进全省网络学习空间建设，推动全省“网络学习空间人人通”普及应用，促进空间应用与教育教学的深度融合，经研究,决定于1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月17日在郑州举办河南省基础教育网络学习空间应用培训班。现将有关事宜通知如下：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一、培训内容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.网络学习空间相关政策解读；</w:t>
      </w:r>
    </w:p>
    <w:p>
      <w:pPr>
        <w:ind w:firstLine="645"/>
        <w:outlineLvl w:val="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2.网络学习空间应用与教师教学能力提升培训；</w:t>
      </w:r>
    </w:p>
    <w:p>
      <w:pPr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3.网络学习空间应用优秀区域和优秀学校成果展示、经验交流；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基于网络学习空间教学的案例展示。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二、培训人员及名额</w:t>
      </w:r>
    </w:p>
    <w:p>
      <w:pPr>
        <w:pStyle w:val="5"/>
        <w:widowControl/>
        <w:spacing w:beforeAutospacing="0" w:afterAutospacing="0" w:line="420" w:lineRule="atLeast"/>
        <w:ind w:firstLine="645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bookmarkStart w:id="0" w:name="OLE_LINK1"/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1.各省辖市电教馆2人，各省直管县电教馆1人；</w:t>
      </w:r>
    </w:p>
    <w:p>
      <w:pPr>
        <w:pStyle w:val="5"/>
        <w:widowControl/>
        <w:spacing w:beforeAutospacing="0" w:afterAutospacing="0" w:line="420" w:lineRule="atLeast"/>
        <w:ind w:firstLine="645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2.教育部办公厅公布的2018年度及2019年度网络学习空间应用普及活动优秀区域和优秀学校（河南省），每个区域2人、每个学校1人（具体名单见附件1）；</w:t>
      </w:r>
    </w:p>
    <w:p>
      <w:pPr>
        <w:pStyle w:val="5"/>
        <w:widowControl/>
        <w:spacing w:beforeAutospacing="0" w:afterAutospacing="0" w:line="420" w:lineRule="atLeast"/>
        <w:ind w:firstLine="645"/>
        <w:jc w:val="both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中央电化教育馆疫情防控期间“网络学习空间”主题应用案例入选学校，每个学校1人（具体名单见附件2）；</w:t>
      </w:r>
    </w:p>
    <w:bookmarkEnd w:id="0"/>
    <w:p>
      <w:pPr>
        <w:ind w:left="645"/>
        <w:outlineLvl w:val="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三、培训时间、地点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培训时间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12月17日下午两点报到，12月18日全天培训，12月19日上午十二点离会。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培训地点：嵩山饭店（郑州市嵩山路与伊河路交叉口向西400米路南）。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四</w:t>
      </w:r>
      <w:r>
        <w:rPr>
          <w:rFonts w:ascii="黑体" w:hAnsi="黑体" w:eastAsia="黑体" w:cs="黑体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其他事项 </w:t>
      </w:r>
    </w:p>
    <w:p>
      <w:pPr>
        <w:ind w:firstLine="645"/>
        <w:outlineLvl w:val="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1.各省辖市、省直管县（市）电教部门于 12月 14 日前将参训人员信息汇总表（见附件3）、网络学习空间应用普及工作汇报表（见附件4）报送省馆联系人邮箱。 </w:t>
      </w:r>
    </w:p>
    <w:p>
      <w:pPr>
        <w:ind w:firstLine="645"/>
        <w:outlineLvl w:val="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2.各市县电教部门要高度重视此项培训工作，指定专人负责，按照培训人员及名额要求组织参训人员准时参加培训。</w:t>
      </w:r>
    </w:p>
    <w:p>
      <w:pPr>
        <w:ind w:firstLine="645"/>
        <w:outlineLvl w:val="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3.本次培训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不收费，食宿统一安排，参训人员往返交通费回所在单位报销。</w:t>
      </w:r>
    </w:p>
    <w:p>
      <w:pPr>
        <w:ind w:firstLine="645"/>
        <w:outlineLvl w:val="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五</w:t>
      </w:r>
      <w:r>
        <w:rPr>
          <w:rFonts w:ascii="黑体" w:hAnsi="黑体" w:eastAsia="黑体" w:cs="黑体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联系方式 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联系人：河南省电化教育馆研究部 刘伟锋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电 话：0371—66324285 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邮 箱: </w:t>
      </w:r>
      <w:r>
        <w:rPr>
          <w:rFonts w:ascii="Arial" w:hAnsi="Arial" w:eastAsia="仿宋_GB2312" w:cs="Arial"/>
          <w:sz w:val="32"/>
          <w:szCs w:val="32"/>
          <w:shd w:val="clear" w:color="auto" w:fill="FFFFFF"/>
        </w:rPr>
        <w:t>hndjyjb@126.com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附件：1.教育部网络学习空间应用普及活动优秀区域和优秀学校</w:t>
      </w:r>
    </w:p>
    <w:p>
      <w:pPr>
        <w:ind w:left="1916" w:leftChars="760" w:hanging="320" w:hangingChars="1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2.疫情防控期间“网络学习空间”主题应用案例入选学校</w:t>
      </w:r>
    </w:p>
    <w:p>
      <w:pPr>
        <w:ind w:firstLine="1540" w:firstLineChars="500"/>
        <w:jc w:val="left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3</w:t>
      </w:r>
      <w:r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网络学习空间应用培训班参训人员信息汇总表</w:t>
      </w:r>
    </w:p>
    <w:p>
      <w:pPr>
        <w:ind w:left="0" w:leftChars="0" w:firstLine="1478" w:firstLineChars="462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4.网络学习空间应用普及工作汇报表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cr/>
      </w:r>
    </w:p>
    <w:p>
      <w:pPr>
        <w:ind w:right="1280" w:firstLine="4480" w:firstLineChars="14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2020年12月1日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firstLine="56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pt;margin-top:31.2pt;height:0pt;width:414pt;z-index:251658240;mso-width-relative:page;mso-height-relative:page;" filled="f" stroked="t" coordsize="21600,21600" o:gfxdata="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fnxs1AAAAAgBAAAPAAAAAAAAAAEAIAAAACIAAABkcnMvZG93bnJldi54bWxQSwEC&#10;FAAUAAAACACHTuJArmRNWvgBAADyAwAADgAAAAAAAAABACAAAAAj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80" w:firstLineChars="1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5pt;margin-top:31.2pt;height:0pt;width:414pt;z-index:251659264;mso-width-relative:page;mso-height-relative:page;" filled="f" stroked="t" coordsize="21600,21600" o:gfxdata="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KAFSXVAAAABwEAAA8AAAAAAAAAAQAgAAAAIgAAAGRycy9kb3ducmV2LnhtbFBL&#10;AQIUABQAAAAIAIdO4kABUN74+QEAAPIDAAAOAAAAAAAAAAEAIAAAACQ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河南省电化教育馆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 w:cs="Times New Roman"/>
          <w:bCs/>
          <w:color w:val="000000"/>
          <w:sz w:val="36"/>
          <w:szCs w:val="36"/>
        </w:rPr>
      </w:pPr>
      <w:r>
        <w:rPr>
          <w:rFonts w:hint="eastAsia" w:eastAsia="方正小标宋简体" w:cs="Times New Roman"/>
          <w:bCs/>
          <w:color w:val="000000"/>
          <w:sz w:val="36"/>
          <w:szCs w:val="36"/>
        </w:rPr>
        <w:t>教育部网络学习空间应用普及活动</w:t>
      </w:r>
    </w:p>
    <w:p>
      <w:pPr>
        <w:spacing w:line="560" w:lineRule="exact"/>
        <w:jc w:val="center"/>
        <w:rPr>
          <w:rFonts w:eastAsia="方正小标宋简体" w:cs="Times New Roman"/>
          <w:bCs/>
          <w:color w:val="000000"/>
          <w:sz w:val="36"/>
          <w:szCs w:val="36"/>
        </w:rPr>
      </w:pPr>
      <w:r>
        <w:rPr>
          <w:rFonts w:hint="eastAsia" w:eastAsia="方正小标宋简体" w:cs="Times New Roman"/>
          <w:bCs/>
          <w:color w:val="000000"/>
          <w:sz w:val="36"/>
          <w:szCs w:val="36"/>
        </w:rPr>
        <w:t>优秀区域和优秀学校名单（河南省）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区域：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焦作市沁阳市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郑州市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平顶山市新华区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基础教育学校：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沁阳市实验小学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洛阳市涧西区东升第二小学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鹤壁市鹤壁科达学校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郑州市第三十四中学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安阳市东南营小学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林州市第一实验小学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开封市第二十五中学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清丰县诚睦路小学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沁阳市第一小学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平顶山市新华区联盟路小学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沁阳市王召乡前庄小学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濮阳市实验小学</w:t>
      </w:r>
    </w:p>
    <w:p>
      <w:pPr>
        <w:spacing w:line="560" w:lineRule="exac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color w:val="000000"/>
          <w:spacing w:val="-6"/>
          <w:sz w:val="36"/>
          <w:szCs w:val="36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color w:val="000000"/>
          <w:spacing w:val="-6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-6"/>
          <w:sz w:val="36"/>
          <w:szCs w:val="36"/>
        </w:rPr>
        <w:t>疫情防控期间“网络学习空间”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-6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-6"/>
          <w:sz w:val="36"/>
          <w:szCs w:val="36"/>
        </w:rPr>
        <w:t>主题应用案例入选名单</w:t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郑州市二七区陇西小学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ab/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新乡市红旗区第二实验小学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ab/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郾城初级实验中学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ab/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信阳市第一实验小学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ab/>
      </w:r>
    </w:p>
    <w:p>
      <w:pPr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鹤壁市山城区实验小学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ab/>
      </w:r>
    </w:p>
    <w:p>
      <w:pPr>
        <w:spacing w:line="560" w:lineRule="exac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eastAsia="方正小标宋简体" w:cs="Times New Roman"/>
          <w:bCs/>
          <w:color w:val="000000"/>
          <w:sz w:val="36"/>
          <w:szCs w:val="36"/>
        </w:rPr>
      </w:pPr>
      <w:r>
        <w:rPr>
          <w:rFonts w:hint="eastAsia" w:eastAsia="方正小标宋简体" w:cs="Times New Roman"/>
          <w:bCs/>
          <w:color w:val="000000"/>
          <w:sz w:val="36"/>
          <w:szCs w:val="36"/>
        </w:rPr>
        <w:t>网络学习空间应用培训班</w:t>
      </w:r>
    </w:p>
    <w:p>
      <w:pPr>
        <w:spacing w:line="560" w:lineRule="exact"/>
        <w:jc w:val="center"/>
        <w:rPr>
          <w:rFonts w:eastAsia="方正小标宋简体" w:cs="Times New Roman"/>
          <w:bCs/>
          <w:color w:val="000000"/>
          <w:sz w:val="36"/>
          <w:szCs w:val="36"/>
        </w:rPr>
      </w:pPr>
      <w:r>
        <w:rPr>
          <w:rFonts w:hint="eastAsia" w:eastAsia="方正小标宋简体" w:cs="Times New Roman"/>
          <w:bCs/>
          <w:color w:val="000000"/>
          <w:sz w:val="36"/>
          <w:szCs w:val="36"/>
        </w:rPr>
        <w:t>参训人员信息汇总表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</w:p>
    <w:p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>地市：</w:t>
      </w:r>
      <w:r>
        <w:rPr>
          <w:rFonts w:hint="eastAsia"/>
          <w:sz w:val="22"/>
          <w:szCs w:val="24"/>
          <w:u w:val="single"/>
        </w:rPr>
        <w:t xml:space="preserve">                  </w:t>
      </w:r>
      <w:r>
        <w:rPr>
          <w:rFonts w:hint="eastAsia"/>
          <w:sz w:val="22"/>
          <w:szCs w:val="24"/>
        </w:rPr>
        <w:t xml:space="preserve">  填表人：</w:t>
      </w:r>
      <w:r>
        <w:rPr>
          <w:rFonts w:hint="eastAsia"/>
          <w:sz w:val="22"/>
          <w:szCs w:val="24"/>
          <w:u w:val="single"/>
        </w:rPr>
        <w:t xml:space="preserve">              </w:t>
      </w:r>
      <w:r>
        <w:rPr>
          <w:rFonts w:hint="eastAsia"/>
          <w:sz w:val="22"/>
          <w:szCs w:val="24"/>
        </w:rPr>
        <w:t xml:space="preserve"> 手机：</w:t>
      </w:r>
      <w:r>
        <w:rPr>
          <w:rFonts w:hint="eastAsia"/>
          <w:sz w:val="22"/>
          <w:szCs w:val="24"/>
          <w:u w:val="single"/>
        </w:rPr>
        <w:t xml:space="preserve">                </w:t>
      </w:r>
    </w:p>
    <w:p>
      <w:pPr>
        <w:rPr>
          <w:sz w:val="22"/>
          <w:szCs w:val="24"/>
        </w:rPr>
      </w:pPr>
    </w:p>
    <w:tbl>
      <w:tblPr>
        <w:tblStyle w:val="7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566"/>
        <w:gridCol w:w="2050"/>
        <w:gridCol w:w="1566"/>
        <w:gridCol w:w="1317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...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/>
    <w:p/>
    <w:p>
      <w:pPr>
        <w:tabs>
          <w:tab w:val="left" w:pos="240"/>
        </w:tabs>
        <w:jc w:val="left"/>
        <w:sectPr>
          <w:footerReference r:id="rId7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4</w:t>
      </w:r>
    </w:p>
    <w:p>
      <w:pPr>
        <w:spacing w:line="56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hint="eastAsia" w:eastAsia="方正小标宋简体"/>
          <w:bCs/>
          <w:color w:val="000000"/>
          <w:sz w:val="36"/>
          <w:szCs w:val="36"/>
        </w:rPr>
        <w:t>网络学习空间应用普及工作汇报表</w:t>
      </w:r>
    </w:p>
    <w:p>
      <w:pPr>
        <w:spacing w:line="560" w:lineRule="exact"/>
        <w:rPr>
          <w:rFonts w:eastAsia="仿宋_GB2312"/>
          <w:bCs/>
          <w:color w:val="000000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地市：</w:t>
      </w:r>
      <w:r>
        <w:rPr>
          <w:rFonts w:hint="eastAsia"/>
          <w:sz w:val="20"/>
          <w:szCs w:val="21"/>
          <w:u w:val="single"/>
        </w:rPr>
        <w:t xml:space="preserve">                      </w:t>
      </w:r>
      <w:r>
        <w:rPr>
          <w:rFonts w:hint="eastAsia" w:eastAsia="仿宋_GB2312"/>
          <w:bCs/>
          <w:color w:val="000000"/>
          <w:sz w:val="24"/>
          <w:szCs w:val="24"/>
          <w:u w:val="single"/>
        </w:rPr>
        <w:t xml:space="preserve"> </w:t>
      </w:r>
    </w:p>
    <w:p>
      <w:pPr>
        <w:spacing w:line="56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一、现状调研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9060" w:type="dxa"/>
          </w:tcPr>
          <w:p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（一）空间建设方式，各类空间开通数量及开通率，空间常用应用及功能</w:t>
            </w:r>
          </w:p>
          <w:p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</w:tcPr>
          <w:p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（二）优秀区域（学校、教师空间）、典型案例概要介绍</w:t>
            </w:r>
          </w:p>
          <w:p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9060" w:type="dxa"/>
          </w:tcPr>
          <w:p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（三）主要问题</w:t>
            </w:r>
          </w:p>
          <w:p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二、主要工作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9060" w:type="dxa"/>
          </w:tcPr>
          <w:p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（一）近两年内的主要推进工作（政策推进、激励措施、空间大赛、空间培训、案例征集、展示交流、宣传推广等）</w:t>
            </w:r>
          </w:p>
          <w:p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9060" w:type="dxa"/>
          </w:tcPr>
          <w:p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（二）名师网络工作室等相关工作推进情况</w:t>
            </w:r>
          </w:p>
          <w:p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三、2021年工作安排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7" w:hRule="atLeast"/>
        </w:trPr>
        <w:tc>
          <w:tcPr>
            <w:tcW w:w="9060" w:type="dxa"/>
          </w:tcPr>
          <w:p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重点说明目标任务、推进举措、创新应用、遴选评比、宣传推广等工作计划。</w:t>
            </w:r>
          </w:p>
          <w:p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240"/>
        </w:tabs>
        <w:jc w:val="left"/>
      </w:pPr>
    </w:p>
    <w:sectPr>
      <w:footerReference r:id="rId9" w:type="first"/>
      <w:footerReference r:id="rId8" w:type="default"/>
      <w:pgSz w:w="11906" w:h="16838"/>
      <w:pgMar w:top="1814" w:right="1531" w:bottom="1814" w:left="1531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ApVbcAgAAJ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vwKVW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61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i6pUg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GjeyTLAQAAl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rORyoO/PURsIXeWUCeouRjOK3ObdystxL9+znr8nz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Bho3sk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OH7cf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E4ftx9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CE1"/>
    <w:multiLevelType w:val="multilevel"/>
    <w:tmpl w:val="14CA4CE1"/>
    <w:lvl w:ilvl="0" w:tentative="0">
      <w:start w:val="1"/>
      <w:numFmt w:val="none"/>
      <w:lvlText w:val="一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pStyle w:val="14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10"/>
    <w:rsid w:val="00015426"/>
    <w:rsid w:val="000833D6"/>
    <w:rsid w:val="000A427E"/>
    <w:rsid w:val="000B0BED"/>
    <w:rsid w:val="000C7F30"/>
    <w:rsid w:val="00165F6B"/>
    <w:rsid w:val="001A02DE"/>
    <w:rsid w:val="001B429D"/>
    <w:rsid w:val="002055E7"/>
    <w:rsid w:val="00234210"/>
    <w:rsid w:val="00313D7D"/>
    <w:rsid w:val="00334A9E"/>
    <w:rsid w:val="003F6033"/>
    <w:rsid w:val="004358AD"/>
    <w:rsid w:val="00486421"/>
    <w:rsid w:val="00500F61"/>
    <w:rsid w:val="005B074A"/>
    <w:rsid w:val="00641D05"/>
    <w:rsid w:val="006E4A6A"/>
    <w:rsid w:val="00724184"/>
    <w:rsid w:val="00812DD7"/>
    <w:rsid w:val="008A490B"/>
    <w:rsid w:val="009210F0"/>
    <w:rsid w:val="009403E0"/>
    <w:rsid w:val="00955DEC"/>
    <w:rsid w:val="009F25D4"/>
    <w:rsid w:val="00A23536"/>
    <w:rsid w:val="00A263E5"/>
    <w:rsid w:val="00AD538D"/>
    <w:rsid w:val="00AD6F36"/>
    <w:rsid w:val="00B83630"/>
    <w:rsid w:val="00BA31B1"/>
    <w:rsid w:val="00CB5F88"/>
    <w:rsid w:val="00CC48E3"/>
    <w:rsid w:val="00D3079D"/>
    <w:rsid w:val="00D91783"/>
    <w:rsid w:val="00DF3F57"/>
    <w:rsid w:val="00E02EC9"/>
    <w:rsid w:val="00E261EF"/>
    <w:rsid w:val="00E77923"/>
    <w:rsid w:val="00E82424"/>
    <w:rsid w:val="00E91AFB"/>
    <w:rsid w:val="00F141DE"/>
    <w:rsid w:val="00FB3DF0"/>
    <w:rsid w:val="020F283E"/>
    <w:rsid w:val="03202913"/>
    <w:rsid w:val="05DB0EAE"/>
    <w:rsid w:val="0A846A59"/>
    <w:rsid w:val="0BF268A1"/>
    <w:rsid w:val="108A55A2"/>
    <w:rsid w:val="118B0B5B"/>
    <w:rsid w:val="126E1E02"/>
    <w:rsid w:val="12AF5B39"/>
    <w:rsid w:val="14E71DC7"/>
    <w:rsid w:val="17170305"/>
    <w:rsid w:val="19C033C4"/>
    <w:rsid w:val="1A7D7E92"/>
    <w:rsid w:val="1C8D0F5B"/>
    <w:rsid w:val="1FCF1C96"/>
    <w:rsid w:val="22735CAC"/>
    <w:rsid w:val="26DA54B1"/>
    <w:rsid w:val="29B24AEE"/>
    <w:rsid w:val="29B27BB2"/>
    <w:rsid w:val="3047388C"/>
    <w:rsid w:val="31FC3FDA"/>
    <w:rsid w:val="340B2ED1"/>
    <w:rsid w:val="344D7077"/>
    <w:rsid w:val="3725696A"/>
    <w:rsid w:val="386924E9"/>
    <w:rsid w:val="3A5D64E3"/>
    <w:rsid w:val="3AF44C38"/>
    <w:rsid w:val="3C377772"/>
    <w:rsid w:val="3D3657E2"/>
    <w:rsid w:val="40464D63"/>
    <w:rsid w:val="47B03F0F"/>
    <w:rsid w:val="49CF21AE"/>
    <w:rsid w:val="4A654E55"/>
    <w:rsid w:val="4AAC62F2"/>
    <w:rsid w:val="4BF95E9D"/>
    <w:rsid w:val="530823E9"/>
    <w:rsid w:val="532201B3"/>
    <w:rsid w:val="534C5207"/>
    <w:rsid w:val="57601294"/>
    <w:rsid w:val="598A3F4D"/>
    <w:rsid w:val="5DE522FB"/>
    <w:rsid w:val="614372E2"/>
    <w:rsid w:val="62B70B26"/>
    <w:rsid w:val="64571967"/>
    <w:rsid w:val="692F0A0E"/>
    <w:rsid w:val="69D71FAD"/>
    <w:rsid w:val="6A2A6BA8"/>
    <w:rsid w:val="6B664606"/>
    <w:rsid w:val="6CCB6487"/>
    <w:rsid w:val="6E013A38"/>
    <w:rsid w:val="6E403B1C"/>
    <w:rsid w:val="6E7D66F8"/>
    <w:rsid w:val="734920D7"/>
    <w:rsid w:val="7AB6352A"/>
    <w:rsid w:val="7D9471C0"/>
    <w:rsid w:val="7DD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二级标题"/>
    <w:basedOn w:val="1"/>
    <w:qFormat/>
    <w:uiPriority w:val="0"/>
    <w:pPr>
      <w:widowControl/>
      <w:numPr>
        <w:ilvl w:val="1"/>
        <w:numId w:val="1"/>
      </w:numPr>
      <w:spacing w:before="100" w:after="100" w:afterAutospacing="1" w:line="360" w:lineRule="auto"/>
      <w:jc w:val="left"/>
      <w:outlineLvl w:val="1"/>
    </w:pPr>
    <w:rPr>
      <w:rFonts w:ascii="Times New Roman" w:hAnsi="Times New Roman" w:eastAsia="黑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234</Words>
  <Characters>1334</Characters>
  <Lines>11</Lines>
  <Paragraphs>3</Paragraphs>
  <TotalTime>17</TotalTime>
  <ScaleCrop>false</ScaleCrop>
  <LinksUpToDate>false</LinksUpToDate>
  <CharactersWithSpaces>1565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2019-09-29T04:44:00Z</dcterms:created>
  <dc:creator>PC</dc:creator>
  <cp:lastModifiedBy>叶子</cp:lastModifiedBy>
  <cp:lastPrinted>2019-10-12T03:49:00Z</cp:lastPrinted>
  <dcterms:modified xsi:type="dcterms:W3CDTF">2020-12-03T08:41:26Z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